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9EE" w:rsidRPr="00DF6738" w:rsidRDefault="006649E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649EE" w:rsidRPr="00DF6738" w:rsidRDefault="00000000">
      <w:pPr>
        <w:pStyle w:val="Nagwek1"/>
        <w:rPr>
          <w:rFonts w:cs="Arial"/>
          <w:sz w:val="20"/>
          <w:szCs w:val="20"/>
        </w:rPr>
      </w:pPr>
      <w:r w:rsidRPr="00DF6738">
        <w:rPr>
          <w:rFonts w:cs="Arial"/>
          <w:sz w:val="20"/>
          <w:szCs w:val="20"/>
        </w:rPr>
        <w:t>Załącznik nr  7 do Zarządzenia Nr RD/Z.0201-…..</w:t>
      </w:r>
    </w:p>
    <w:p w:rsidR="006649EE" w:rsidRPr="00DF6738" w:rsidRDefault="006649EE">
      <w:pPr>
        <w:keepNext/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6649EE" w:rsidRPr="00DF6738" w:rsidRDefault="006649E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49EE" w:rsidRPr="00DF6738" w:rsidRDefault="00000000">
      <w:pPr>
        <w:keepNext/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b/>
          <w:bCs/>
          <w:sz w:val="20"/>
          <w:szCs w:val="20"/>
        </w:rPr>
        <w:t>KARTA KURSU</w:t>
      </w:r>
    </w:p>
    <w:p w:rsidR="006649EE" w:rsidRPr="00DF6738" w:rsidRDefault="00000000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F6738">
        <w:rPr>
          <w:rFonts w:ascii="Arial" w:hAnsi="Arial" w:cs="Arial"/>
          <w:b/>
          <w:bCs/>
          <w:sz w:val="20"/>
          <w:szCs w:val="20"/>
        </w:rPr>
        <w:t>Resocjalizacja i profilaktyka społeczna</w:t>
      </w:r>
    </w:p>
    <w:p w:rsidR="006649EE" w:rsidRPr="00DF6738" w:rsidRDefault="006649EE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49EE" w:rsidRPr="00DF6738" w:rsidRDefault="006649E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649EE" w:rsidRPr="00DF6738" w:rsidRDefault="006649E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tbl>
      <w:tblPr>
        <w:tblStyle w:val="TableNormal"/>
        <w:tblW w:w="96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70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7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Metodyka profilaktyki uzależnień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7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>Methodology of addiction prevention</w:t>
            </w:r>
          </w:p>
        </w:tc>
      </w:tr>
    </w:tbl>
    <w:p w:rsidR="006649EE" w:rsidRPr="00DF6738" w:rsidRDefault="006649EE" w:rsidP="00DF6738">
      <w:pPr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76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a-DK"/>
              </w:rPr>
              <w:t>Dr Karolina Pi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ątek</w:t>
            </w:r>
            <w:proofErr w:type="spellEnd"/>
          </w:p>
        </w:tc>
        <w:tc>
          <w:tcPr>
            <w:tcW w:w="3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>Zesp</w:t>
            </w:r>
            <w:r w:rsidRPr="00DF6738">
              <w:rPr>
                <w:rFonts w:ascii="Arial" w:hAnsi="Arial" w:cs="Arial"/>
                <w:sz w:val="20"/>
                <w:szCs w:val="20"/>
              </w:rPr>
              <w:t>ół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dydaktyczny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a-DK"/>
              </w:rPr>
              <w:t>Dr Karolina Pi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ątek</w:t>
            </w:r>
            <w:proofErr w:type="spellEnd"/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jc w:val="center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jc w:val="center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keepNext/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  <w:r w:rsidRPr="00DF6738">
        <w:rPr>
          <w:rFonts w:ascii="Arial" w:eastAsia="Arial" w:hAnsi="Arial" w:cs="Arial"/>
          <w:b/>
          <w:bCs/>
          <w:sz w:val="20"/>
          <w:szCs w:val="20"/>
        </w:rPr>
        <w:tab/>
      </w:r>
    </w:p>
    <w:p w:rsidR="006649EE" w:rsidRPr="00DF6738" w:rsidRDefault="006649EE">
      <w:pPr>
        <w:widowControl w:val="0"/>
        <w:spacing w:after="0" w:line="240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Opis kursu (cele kształcenia)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3"/>
        </w:trPr>
        <w:tc>
          <w:tcPr>
            <w:tcW w:w="9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Przedmiot metodyka profilaktyki społecznej i uzależnień ma przygotować student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do realizacji zadań profilaktyczno-wychowawczych w instytucjach edukacyjnych, pomocowych organizujących socjoterapię, terapię indywidualną i grupową dla os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b w różnym wieku. Studenci zdobywają wiedzę z zakresu diagnostyki profilaktycznej (rozpoznawania stan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zagrożenia moralnego, zdrowotnego, kulturowego, społecznego jednostki, rodziny, grupy) oraz nabywają umiejętności w zakresie konstruowania programu zapobiegającego oraz redukującego przejawy uzależnień. Tematyka zajęć przybliża różnorodne strategie przydatne w efektywnym organizowaniu procesu profilaktyki, zwłaszcza wobec dzieci i młodzieży z trudnych środowisk. Celem zajęć jest przygotowanie teoretyczne (ujęcia definicyjne, sposoby rozumienia koncepcji profilaktycznych) i metodyczne do podejmowania profesjonalnych działań wspierających jednostki i grupy społeczne zagrożone uzależnieniami. Ponadto celem przekazanej wiedzy będzie ukształtowanie odpowiedniej postawy wobec os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b uzależnionych lub nadużywających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środk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psychoaktywnych oraz umiejętność przeprowadzenia interwencji kryzysowej, poznanie rodzaj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uzależnień, przeprowadzenia diagnozy nozologicznej, mechanizmy uzależnień, uwarunkowania psychospołeczne uzależnień. Ponadto na zajęciach student zapoznaje się z wiedzą na temat uzależnień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zar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wno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chemicznych jak i behawioralnych, identyfikacji czynnik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warunkujących powstawanie uzależnień oraz nabycie wiedzy na temat czynnik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chroniących, om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wienie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poziom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i profilaktycznych.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Efekty uczenia się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5296"/>
        <w:gridCol w:w="2395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Odniesienie do efekt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</w:t>
            </w:r>
          </w:p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(określonych w karcie programu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studi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specjalności)</w:t>
            </w:r>
          </w:p>
        </w:tc>
      </w:tr>
      <w:tr w:rsidR="006649EE" w:rsidRPr="00DF6738" w:rsidT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W01, Zna podstawowe definicje dotyczące profilaktyki i prewencji problem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społecznych oraz posiada wiedzę dotyczącą etycznych i prawnych podstaw pracy pedagoga w różnych plac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wkach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oświatowych i opiekuńczo</w:t>
            </w:r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sym w:font="Arial Unicode MS" w:char="0002"/>
            </w:r>
            <w:r w:rsidRPr="00DF6738">
              <w:rPr>
                <w:rFonts w:ascii="Arial" w:hAnsi="Arial" w:cs="Arial"/>
                <w:sz w:val="20"/>
                <w:szCs w:val="20"/>
              </w:rPr>
              <w:t xml:space="preserve">wychowawczych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W02, Zna zagrożenia współczesnego społeczeństwa oraz mechanizmy ich powstawania i funkcjonowania ,posiada wiedzę z zakresu projektowania diagnozy uzależnień oraz systemowych form pomocy ze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szczeg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lnym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uwzględnieniem pracy z osobą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uzależ</w:t>
            </w:r>
            <w:r w:rsidRPr="00DF6738">
              <w:rPr>
                <w:rFonts w:ascii="Arial" w:hAnsi="Arial" w:cs="Arial"/>
                <w:sz w:val="20"/>
                <w:szCs w:val="20"/>
                <w:lang w:val="fr-FR"/>
              </w:rPr>
              <w:t>nion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ą.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W03, Zna strategie i metody prowadzenia działań profilaktycznych oraz dysponuje wiedzą z zakresu metodyki profilaktyki uzależnień. Zna rodzaje i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spos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b przygotowania dokument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tworzonych w różnych plac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wkach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diagnostyczno-terapeutycznych i interwencyjnych</w:t>
            </w:r>
          </w:p>
        </w:tc>
        <w:tc>
          <w:tcPr>
            <w:tcW w:w="23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 xml:space="preserve">W01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W02, W05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>W08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40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Odniesienie do efekt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</w:t>
            </w:r>
          </w:p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(określonych w karcie programu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studi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specjalności)</w:t>
            </w:r>
          </w:p>
        </w:tc>
      </w:tr>
      <w:tr w:rsidR="006649EE" w:rsidRPr="00DF6738" w:rsidT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U01, Potrafi tworzyć projekt działań profilaktycznych oraz potrafi dostosować swoje zachowania do zasad etycznych oraz potrafi posługiwać się aktami prawnymi regulującymi pracę pedagoga w plac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wkach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różnego typu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U02, Potrafi zaprojektować oraz przeprowadzić działania w ramach promocji zdrowia i profilaktyki uzależnień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U03, potrafi zaprojektować i przeprowadzić metodologicznie badania pedagogiczne wykorzystując do tego stworzone przez siebie narzędzia badawcze a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takż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  <w:lang w:val="it-IT"/>
              </w:rPr>
              <w:t>e sformu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łować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i przedstawić logiczne wnioski</w:t>
            </w:r>
          </w:p>
        </w:tc>
        <w:tc>
          <w:tcPr>
            <w:tcW w:w="2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U01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U04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40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Odniesienie do efekt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</w:t>
            </w:r>
          </w:p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(określonych w karcie programu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studi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dla specjalności)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K01, Rozumie różnorodność przyczyn przy powstawaniu problem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społecznych związanych z uzależnieniem i ma świadomość znaczenia zachowania się w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spos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b etyczny i profesjonalny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K02, Posiada zaangażowanie oraz przekonanie o sensie pracy pedagogicznej w różnych środowiskach wychowawczych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it-IT"/>
              </w:rPr>
              <w:t xml:space="preserve">K03, Ma </w:t>
            </w:r>
            <w:r w:rsidRPr="00DF6738">
              <w:rPr>
                <w:rFonts w:ascii="Arial" w:hAnsi="Arial" w:cs="Arial"/>
                <w:sz w:val="20"/>
                <w:szCs w:val="20"/>
              </w:rPr>
              <w:t>świadomość i potrzebę stałego doskonalenia i wzbogacania nie tylko swojego warsztatu pracy , ale także własnej osobowości</w:t>
            </w:r>
          </w:p>
        </w:tc>
        <w:tc>
          <w:tcPr>
            <w:tcW w:w="2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K01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K03, K06 </w:t>
            </w: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6649E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222"/>
        <w:gridCol w:w="848"/>
        <w:gridCol w:w="271"/>
        <w:gridCol w:w="859"/>
        <w:gridCol w:w="314"/>
        <w:gridCol w:w="817"/>
        <w:gridCol w:w="284"/>
        <w:gridCol w:w="848"/>
        <w:gridCol w:w="282"/>
        <w:gridCol w:w="848"/>
        <w:gridCol w:w="283"/>
        <w:gridCol w:w="848"/>
        <w:gridCol w:w="301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2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60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it-IT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60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6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DF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Opis metod prowadzenia zajęć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Wykład konwersatoryjny i problemowy. Prelekcja. Metoda projekt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w. Praca w grupach. Sesje rozwiązywania problemu. Dyskusja. Symulacja laboratoryjna. Dyskusja dydaktyczna. Prezentacje multimedialne. Metoda sytuacyjna. Metody eksponujące – film. Metody eksponujące - pokaz połączony z przeżyciem; studium przypadku. Zajęcia terenowe.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Formy sprawdzania efekt</w:t>
      </w:r>
      <w:proofErr w:type="spellStart"/>
      <w:r w:rsidRPr="00DF6738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DF6738">
        <w:rPr>
          <w:rFonts w:ascii="Arial" w:hAnsi="Arial" w:cs="Arial"/>
          <w:sz w:val="20"/>
          <w:szCs w:val="20"/>
        </w:rPr>
        <w:t>w uczenia się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696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>Inne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lastRenderedPageBreak/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e-DE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714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7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Studenci są oceniani w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spos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b ciągły na podstawie uczestnictwa i aktywności na zajęciach oraz realizacji opracowania na wybrany temat. Dodatkowymi kryteriami oceny są: terminowość wykonania zadań oraz dostosowanie się do wymagań dotyczących sposobu ich wykonania, określonych przez prowadzącego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zaję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  <w:lang w:val="it-IT"/>
              </w:rPr>
              <w:t xml:space="preserve">cia.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Metody kształtujące dla oceny ciągłej to: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fr-FR"/>
              </w:rPr>
              <w:t>bie</w:t>
            </w:r>
            <w:r w:rsidRPr="00DF6738">
              <w:rPr>
                <w:rFonts w:ascii="Arial" w:hAnsi="Arial" w:cs="Arial"/>
                <w:sz w:val="20"/>
                <w:szCs w:val="20"/>
              </w:rPr>
              <w:t>żąca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ocena i ewentualna korekta realizacji zadań wykonywanych w trakcie ćwiczeń, dyskusja oceniająca po wykonaniu wszystkich zadań przez student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-przygotowanie projektu planu profilaktyki w szkole, prezentacji, przygotowanie scenek sytuacyjnych do danego problemu społecznego.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Do egzaminu przystępuje student,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kt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ry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otrzyma zaliczenie z ćwiczeń. Kryterium do oceny w skali 2,0-5,0.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Metody i kryteria oceny: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- na ocenę 2 (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.): nie potrafi scharakteryzować i rozróżnić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poszczeg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lne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uzależnienia, nie potrafi wskazać ich uwarunkowań, nie potrafi rozróżnić poziom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profilaktyki i nie potrafi wymienić strategii profilaktycznych nie potrafi scharakteryzować uwarunkowań uzależnień, nie zna objaw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osiowych uzależnień, nie potrafi planować i dobierać odpowiednich strategii profilaktycznych, nie potrafi opracować planu programu profilaktycznego 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- na ocenę 3 (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.): potrafi scharakteryzować i rozróżnić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poszczeg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lne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uzależnienia, potrafi wskazać ich uwarunkowania, potrafi om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wić podejścia naukowe dotyczące profilaktyki i przeciwdziałania dysfunkcjom charakteryzuje współczesne uwarunkowania uzależnień, definiuje objawy osiowe uzależnień, jednak nie potrafi planować i dobierać odpowiednich strategii profilaktycznych, nie potrafi opracować planu programu profilaktycznego –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- na ocenę 4 (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); poprawnie orientuje się w zagadnieniach dotyczących profilaktyki uzależnień i potrafi wskazać przyczyny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poszczeg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lnych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dysfunkcji, potrafi krytycznie om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wić podejścia naukowe dotyczące przeciwdziałania dysfunkcjom charakteryzuje współczesne uwarunkowania uzależnień, definiuje objawy osiowe uzależnień, potrafi zidentyfikować odpowiednie strategie profilaktyczne, jednak nie potrafi opracować samodzielnie planu programu profilaktycznego –</w:t>
            </w:r>
          </w:p>
          <w:p w:rsidR="006649EE" w:rsidRPr="00DF6738" w:rsidRDefault="00000000">
            <w:pPr>
              <w:widowControl w:val="0"/>
              <w:spacing w:before="57" w:after="57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- na ocenę 5(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); doskonale orientuje się w zagadnieniach dotyczących profilaktyki uzależnień potrafi przeanalizować przyczyny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poszczeg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lnych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dysfunkcji, potrafi konstruować programy profilaktyczne. student charakteryzuje współczesne uwarunkowania uzależnień, definiuje objawy osiowe uzależnień, potrafi planować i dobierać odpowiednie strategie profilaktyczne.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714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widowControl w:val="0"/>
              <w:spacing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Treści merytoryczne (wykaz temat</w:t>
      </w:r>
      <w:proofErr w:type="spellStart"/>
      <w:r w:rsidRPr="00DF6738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DF6738">
        <w:rPr>
          <w:rFonts w:ascii="Arial" w:hAnsi="Arial" w:cs="Arial"/>
          <w:sz w:val="20"/>
          <w:szCs w:val="20"/>
        </w:rPr>
        <w:t>w)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3"/>
        </w:trPr>
        <w:tc>
          <w:tcPr>
            <w:tcW w:w="9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lastRenderedPageBreak/>
              <w:t xml:space="preserve">Wykłady: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Definiowanie prewencji i profilaktyki uzależnień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Rodzaje uzależnień od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środk</w:t>
            </w:r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psychoaktywnych i od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czynnoś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  <w:lang w:val="it-IT"/>
              </w:rPr>
              <w:t xml:space="preserve">ci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Współczesne zagrożenia w rozwoju społeczeństwa (alkohol, narkotyki, uzależnienia; przemoc i przestępczość; bezrobocie; inne rodzaje zagrożeń)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Nałogowa osobowość naszych czas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Mechanizmy zachowań ryzykownych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Strategie profilaktyki i prewencji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Pozytywna i negatywna profilaktyka (prewencja)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Działania profilaktyczne(profilaktyka i terapia)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Narzędzia do diagnozowania uzależnień Zarządzanie działaniami profilaktycznymi i prewencyjnymi- systemowa profilaktyka uzależnień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Ćwiczenia;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Projektowanie program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profilaktycznych dla różnych os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b i grup uzależnionych(profilaktyka w środowisku otwartym i zamkniętym)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- praca w terenie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Przygotowywanie scenariuszy profilaktycznych przy użyciu metod aktywizujących między innymi dramy, filmu, wystawy multimedialnej.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Wykaz literatury podstawowej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6649EE" w:rsidRPr="00DF6738" w:rsidT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1"/>
        </w:trPr>
        <w:tc>
          <w:tcPr>
            <w:tcW w:w="9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Mellibruda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J. Sobolewska -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Mellibruda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Z.: Integracyjna psychoterapia uzależnień, Warszawa, 20017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nl-NL"/>
              </w:rPr>
              <w:t>Teesson M.,Degenhardt, L., Hall W .:Uzale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żnienia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, Gdańsk, 20015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Arendarska A. Wojcieszek K.: Przygotowanie do profilaktyki domowej. Warszawa 1996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Cekiera Cz.: Psychoprofilaktyka uzależnień oraz terapia i resocjalizacja os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b uzależnionych. Lublin 1993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Dziewiecki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M.: Integralna profilaktyka uzależnień w szkole. Kr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tki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poradnik psychologiczny. Krak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2003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Dziewiecki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M.: Nowoczesna profilaktyka uzależnień. Jedność, Kielce 2000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Gaś Z.: Profilaktyka uzależnień. Warszawa 1993 Gaś Z.: Psychoprofilaktyka. Procedury konstruowania program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wczesnej interwencji. Lublin 1998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Kieszkowska A.(red.): Strategie działań profilaktycznych w środowiskach wychowawczych. Kielce 2007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Kozaczuk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F. Urban B (red): Profilaktyka i resocjalizacja młodzieży. Rzesz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1997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Simm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M. Węgrzyn-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Jonek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E.: Budowanie szkolnego programu profilaktyki. Krak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2002.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Prajsner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M.(red.): Młodzież z grup ryzyka. Perspektywy profilaktyki. Warszawa 2003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Sakowicz T. i Kieszkowska A.(red.): Miejsce rodziny i szkoły w profilaktyce uzależnień. Kielce 2003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Szymańska J.: Programy profilaktyczne. Podstawy profesjonalnej psychoprofilaktyki. Warszawa 2000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Świątkiewicz G.(red.): Profilaktyka w środowisku lokalnym. Warszawa 2002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Wykaz literatury uzupełniającej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/>
        </w:trPr>
        <w:tc>
          <w:tcPr>
            <w:tcW w:w="9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a-DK"/>
              </w:rPr>
              <w:t>Ogi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ńska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-Bulik L .: Uzależnienie od czynności, Warszawa, 2010,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Cierpiałowska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L.,Ziarko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M .: Psychologia uzależnień, Warszawa, 2010,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Jabłoński P, Bukowska B,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Czabała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J(red).:Uzależnienie od narkotyk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–podręcznik , Warszawa 2017 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Lubińska-Bogacka M.: Realizacja program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w profilaktyczno-wychowawczych w szkołach, w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Muchacka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B(red) Szkoła w nauce i praktyce edukacyjnej, Krak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2006</w:t>
            </w:r>
          </w:p>
          <w:p w:rsidR="006649EE" w:rsidRPr="00DF6738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 xml:space="preserve">C. F. Wells, I. 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>R.Stuart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>-Self-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>Destruktiwve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  <w:lang w:val="en-US"/>
              </w:rPr>
              <w:t xml:space="preserve"> Behavior in Children and Adolescents, New York 2016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6649EE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6649EE" w:rsidRPr="00DF6738" w:rsidRDefault="0000000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F673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649EE" w:rsidRPr="00DF6738" w:rsidRDefault="006649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750"/>
        <w:gridCol w:w="1096"/>
      </w:tblGrid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nl-NL"/>
              </w:rPr>
              <w:t>Konwersatorium (</w:t>
            </w:r>
            <w:r w:rsidRPr="00DF6738">
              <w:rPr>
                <w:rFonts w:ascii="Arial" w:hAnsi="Arial" w:cs="Arial"/>
                <w:sz w:val="20"/>
                <w:szCs w:val="20"/>
              </w:rPr>
              <w:t>ćwiczenia, laboratorium itd.)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Przygotowanie kr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DF6738">
              <w:rPr>
                <w:rFonts w:ascii="Arial" w:hAnsi="Arial" w:cs="Arial"/>
                <w:sz w:val="20"/>
                <w:szCs w:val="20"/>
              </w:rPr>
              <w:t>tkiej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pracy pisemnej lub referatu po zapoznaniu się z niezbędną literaturą przedmiotu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649EE" w:rsidRPr="00DF6738" w:rsidRDefault="0066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  <w:lang w:val="da-DK"/>
              </w:rPr>
              <w:t>Og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</w:rPr>
              <w:t>ółem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 xml:space="preserve"> bilans czasu pracy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649EE" w:rsidRPr="00DF6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Ilość punkt</w:t>
            </w:r>
            <w:proofErr w:type="spellStart"/>
            <w:r w:rsidRPr="00DF673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 w:rsidRPr="00DF6738">
              <w:rPr>
                <w:rFonts w:ascii="Arial" w:hAnsi="Arial" w:cs="Arial"/>
                <w:sz w:val="20"/>
                <w:szCs w:val="20"/>
              </w:rPr>
              <w:t>w ECTS w zależności od przyjętego przelicznika</w:t>
            </w:r>
          </w:p>
        </w:tc>
        <w:tc>
          <w:tcPr>
            <w:tcW w:w="10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649EE" w:rsidRPr="00DF6738" w:rsidRDefault="0000000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7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649EE" w:rsidRPr="00DF6738" w:rsidRDefault="006649EE">
      <w:pPr>
        <w:widowControl w:val="0"/>
        <w:spacing w:after="0" w:line="240" w:lineRule="auto"/>
        <w:ind w:left="324" w:hanging="324"/>
        <w:rPr>
          <w:rFonts w:ascii="Arial" w:eastAsia="Arial" w:hAnsi="Arial" w:cs="Arial"/>
          <w:sz w:val="20"/>
          <w:szCs w:val="20"/>
        </w:rPr>
      </w:pPr>
    </w:p>
    <w:p w:rsidR="006649EE" w:rsidRPr="00DF6738" w:rsidRDefault="006649EE">
      <w:pPr>
        <w:widowControl w:val="0"/>
        <w:spacing w:after="0" w:line="240" w:lineRule="auto"/>
        <w:ind w:left="216" w:hanging="216"/>
        <w:rPr>
          <w:rFonts w:ascii="Arial" w:hAnsi="Arial" w:cs="Arial"/>
          <w:sz w:val="20"/>
          <w:szCs w:val="20"/>
        </w:rPr>
      </w:pPr>
    </w:p>
    <w:sectPr w:rsidR="006649EE" w:rsidRPr="00DF6738">
      <w:headerReference w:type="default" r:id="rId6"/>
      <w:footerReference w:type="default" r:id="rId7"/>
      <w:pgSz w:w="11900" w:h="16840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F58" w:rsidRDefault="002E7F58">
      <w:pPr>
        <w:spacing w:after="0" w:line="240" w:lineRule="auto"/>
      </w:pPr>
      <w:r>
        <w:separator/>
      </w:r>
    </w:p>
  </w:endnote>
  <w:endnote w:type="continuationSeparator" w:id="0">
    <w:p w:rsidR="002E7F58" w:rsidRDefault="002E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9EE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F67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F58" w:rsidRDefault="002E7F58">
      <w:pPr>
        <w:spacing w:after="0" w:line="240" w:lineRule="auto"/>
      </w:pPr>
      <w:r>
        <w:separator/>
      </w:r>
    </w:p>
  </w:footnote>
  <w:footnote w:type="continuationSeparator" w:id="0">
    <w:p w:rsidR="002E7F58" w:rsidRDefault="002E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9EE" w:rsidRDefault="006649E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EE"/>
    <w:rsid w:val="002E7F58"/>
    <w:rsid w:val="006649EE"/>
    <w:rsid w:val="00D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9E7"/>
  <w15:docId w15:val="{24D9747D-EFC1-4985-8486-4994645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right"/>
      <w:outlineLvl w:val="0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Wnęk-Gozdek</cp:lastModifiedBy>
  <cp:revision>2</cp:revision>
  <dcterms:created xsi:type="dcterms:W3CDTF">2022-11-22T07:42:00Z</dcterms:created>
  <dcterms:modified xsi:type="dcterms:W3CDTF">2022-11-22T07:43:00Z</dcterms:modified>
</cp:coreProperties>
</file>